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2E" w:rsidRPr="000B12EF" w:rsidRDefault="00B4492E" w:rsidP="00B4492E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0B12EF">
        <w:rPr>
          <w:rFonts w:ascii="方正小标宋简体" w:eastAsia="方正小标宋简体" w:hAnsi="方正小标宋_GBK" w:cs="方正小标宋_GBK" w:hint="eastAsia"/>
          <w:sz w:val="44"/>
          <w:szCs w:val="44"/>
        </w:rPr>
        <w:t>2020年</w:t>
      </w:r>
      <w:r w:rsidR="00930E60" w:rsidRPr="000B12EF">
        <w:rPr>
          <w:rFonts w:ascii="方正小标宋简体" w:eastAsia="方正小标宋简体" w:hAnsi="方正小标宋_GBK" w:cs="方正小标宋_GBK" w:hint="eastAsia"/>
          <w:sz w:val="44"/>
          <w:szCs w:val="44"/>
        </w:rPr>
        <w:t>高考补习类校外培训机构</w:t>
      </w:r>
      <w:r w:rsidRPr="000B12EF">
        <w:rPr>
          <w:rFonts w:ascii="方正小标宋简体" w:eastAsia="方正小标宋简体" w:hAnsi="方正小标宋_GBK" w:cs="方正小标宋_GBK" w:hint="eastAsia"/>
          <w:sz w:val="44"/>
          <w:szCs w:val="44"/>
        </w:rPr>
        <w:t>返校准备工作核查表</w:t>
      </w:r>
    </w:p>
    <w:p w:rsidR="00B4492E" w:rsidRPr="000B12EF" w:rsidRDefault="000B12EF" w:rsidP="00B4492E">
      <w:pPr>
        <w:jc w:val="left"/>
        <w:rPr>
          <w:rFonts w:ascii="仿宋" w:eastAsia="仿宋" w:hAnsi="仿宋" w:cs="方正仿宋_GBK"/>
          <w:sz w:val="30"/>
          <w:szCs w:val="30"/>
        </w:rPr>
      </w:pPr>
      <w:r w:rsidRPr="000B12EF">
        <w:rPr>
          <w:rFonts w:ascii="仿宋" w:eastAsia="仿宋" w:hAnsi="仿宋" w:cs="方正仿宋_GBK" w:hint="eastAsia"/>
          <w:sz w:val="30"/>
          <w:szCs w:val="30"/>
        </w:rPr>
        <w:t>机构</w:t>
      </w:r>
      <w:r w:rsidR="00B4492E" w:rsidRPr="000B12EF">
        <w:rPr>
          <w:rFonts w:ascii="仿宋" w:eastAsia="仿宋" w:hAnsi="仿宋" w:cs="方正仿宋_GBK" w:hint="eastAsia"/>
          <w:sz w:val="30"/>
          <w:szCs w:val="30"/>
        </w:rPr>
        <w:t xml:space="preserve">名称：                                                    校长签名： 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30"/>
        <w:gridCol w:w="1483"/>
        <w:gridCol w:w="4250"/>
        <w:gridCol w:w="1775"/>
        <w:gridCol w:w="2475"/>
        <w:gridCol w:w="1087"/>
        <w:gridCol w:w="1582"/>
      </w:tblGrid>
      <w:tr w:rsidR="00B4492E" w:rsidRPr="000B12EF" w:rsidTr="00FF02EE">
        <w:trPr>
          <w:trHeight w:val="1229"/>
        </w:trPr>
        <w:tc>
          <w:tcPr>
            <w:tcW w:w="892" w:type="dxa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项目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内容及标准</w:t>
            </w:r>
          </w:p>
        </w:tc>
        <w:tc>
          <w:tcPr>
            <w:tcW w:w="1775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核查意见</w:t>
            </w:r>
          </w:p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（是否合格）</w:t>
            </w:r>
          </w:p>
        </w:tc>
        <w:tc>
          <w:tcPr>
            <w:tcW w:w="2475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具体情况</w:t>
            </w:r>
          </w:p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（注明合格或不合格的原因）</w:t>
            </w:r>
          </w:p>
        </w:tc>
        <w:tc>
          <w:tcPr>
            <w:tcW w:w="1087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核查人签名</w:t>
            </w:r>
          </w:p>
        </w:tc>
        <w:tc>
          <w:tcPr>
            <w:tcW w:w="1582" w:type="dxa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备注</w:t>
            </w:r>
          </w:p>
        </w:tc>
      </w:tr>
      <w:tr w:rsidR="00B4492E" w:rsidRPr="000B12EF" w:rsidTr="00FF02EE">
        <w:trPr>
          <w:trHeight w:val="1770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建立防控工作体系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三级防控工作体系建立完善情况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建立完善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、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学科组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学管</w:t>
            </w:r>
            <w:r w:rsid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教师</w:t>
            </w:r>
            <w:proofErr w:type="gramEnd"/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三级防控工作体系，确保组织领导、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场所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管理、物资储备、教学安排到位。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B4492E" w:rsidRPr="000B12EF" w:rsidTr="00FF02EE">
        <w:trPr>
          <w:trHeight w:val="2585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疫情防控报告制度落实情况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落实“日报告”“零报告”制度。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每日向属地教育行政部门报告本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应到校人数、实际到校人数、未到校人数及原因、是否有新冠肺炎可疑症状人员、是否缺乏防控物资等。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</w:tr>
      <w:tr w:rsidR="00B4492E" w:rsidRPr="000B12EF" w:rsidTr="00367F06">
        <w:trPr>
          <w:trHeight w:val="3960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合理</w:t>
            </w: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制定返校方案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3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学生返校工作“两案”制定</w:t>
            </w:r>
          </w:p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4250" w:type="dxa"/>
          </w:tcPr>
          <w:p w:rsidR="00B4492E" w:rsidRPr="000B12EF" w:rsidRDefault="00B4492E" w:rsidP="00930E60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对照《安徽省普通中小学新冠肺炎疫情防控开学工作指南（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二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）》，结合实际，按照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“一校一案”</w:t>
            </w:r>
            <w:r w:rsid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、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“一人一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案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”要求，认真研制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培训机构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学生返校工作方案、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突发疫情应急处置预案。方案须经属地疫情防控工作领导小组审核并实地验收合格，在属地卫生防疫等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相关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部门指导下进行反复推演。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</w:tr>
      <w:tr w:rsidR="00B4492E" w:rsidRPr="000B12EF" w:rsidTr="00FF02EE">
        <w:trPr>
          <w:trHeight w:val="3800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4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“</w:t>
            </w:r>
            <w:r w:rsidR="00883F94">
              <w:rPr>
                <w:rFonts w:ascii="仿宋" w:eastAsia="仿宋" w:hAnsi="仿宋" w:cs="方正仿宋_GBK" w:hint="eastAsia"/>
                <w:sz w:val="28"/>
                <w:szCs w:val="28"/>
              </w:rPr>
              <w:t>八</w:t>
            </w:r>
            <w:bookmarkStart w:id="0" w:name="_GoBack"/>
            <w:bookmarkEnd w:id="0"/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项制度”制定</w:t>
            </w:r>
          </w:p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4250" w:type="dxa"/>
            <w:vAlign w:val="center"/>
          </w:tcPr>
          <w:p w:rsidR="00B4492E" w:rsidRPr="00367F06" w:rsidRDefault="00B4492E" w:rsidP="00883F94">
            <w:pPr>
              <w:spacing w:line="36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P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制定完善</w:t>
            </w:r>
            <w:r w:rsidR="00930E60" w:rsidRP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新冠肺炎疫情报告制度、学生晨午（晚）检制度、因病缺课缺勤登记与追踪制度、复课证明查验制度、宣传和健康教育制度、心理咨询与干预制度、外来人员入校管理制度、</w:t>
            </w:r>
            <w:r w:rsidR="00930E60" w:rsidRP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环境</w:t>
            </w:r>
            <w:r w:rsidRPr="00367F06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清洁与学习生活场所消毒制度。各项制度要明确操作流程、岗位职责，落实责任人。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</w:tr>
      <w:tr w:rsidR="00B4492E" w:rsidRPr="000B12EF" w:rsidTr="00FF02EE">
        <w:trPr>
          <w:trHeight w:val="2185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lastRenderedPageBreak/>
              <w:t>精准摸排健康状况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5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师生健康摸排情况</w:t>
            </w:r>
          </w:p>
        </w:tc>
        <w:tc>
          <w:tcPr>
            <w:tcW w:w="4250" w:type="dxa"/>
          </w:tcPr>
          <w:p w:rsidR="00B4492E" w:rsidRPr="000B12EF" w:rsidRDefault="00B4492E" w:rsidP="00930E60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返校前对所有教职员工和学生近14天以来的身体状况、活动轨迹等信息进行摸排，</w:t>
            </w:r>
            <w:r w:rsidR="00930E60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“一人一表”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精准掌握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师生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的详细情况，逐人建立健康档案。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</w:tr>
      <w:tr w:rsidR="00B4492E" w:rsidRPr="000B12EF" w:rsidTr="00930E60">
        <w:trPr>
          <w:trHeight w:val="2601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6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9B4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教职工调配情况</w:t>
            </w:r>
          </w:p>
        </w:tc>
        <w:tc>
          <w:tcPr>
            <w:tcW w:w="4250" w:type="dxa"/>
          </w:tcPr>
          <w:p w:rsidR="00B4492E" w:rsidRPr="000B12EF" w:rsidRDefault="00B4492E" w:rsidP="00930E60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按照《安徽省学生和教职员工新冠肺炎风险人群判定标准》，准确确定正常返校人员。服从武汉等重点疫区防控规定及安排，不得要求目前仍在重点疫区和境外的教员返校。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</w:tr>
      <w:tr w:rsidR="00B4492E" w:rsidRPr="000B12EF" w:rsidTr="00FF02EE">
        <w:trPr>
          <w:trHeight w:val="2060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充分储备</w:t>
            </w: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  <w:p w:rsidR="00B4492E" w:rsidRPr="000B12EF" w:rsidRDefault="00B4492E" w:rsidP="00FF02EE">
            <w:pPr>
              <w:rPr>
                <w:rFonts w:ascii="仿宋" w:eastAsia="仿宋" w:hAnsi="仿宋" w:cs="方正小标宋_GBK"/>
                <w:sz w:val="44"/>
                <w:szCs w:val="44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lastRenderedPageBreak/>
              <w:t>防控物资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防控物资供应情况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做好洗手液、免洗手消毒剂、口罩、酒精、消毒液、体温检测设备等疫情防控物资储备，返校前一周至</w:t>
            </w:r>
            <w:proofErr w:type="gramStart"/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少准备</w:t>
            </w:r>
            <w:proofErr w:type="gramEnd"/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可供两周使用的防控物资，并保障持续配备。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2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查清教职工学生数量，测算需要物资数量</w:t>
            </w:r>
          </w:p>
        </w:tc>
      </w:tr>
      <w:tr w:rsidR="00B4492E" w:rsidRPr="000B12EF" w:rsidTr="00FF02EE">
        <w:trPr>
          <w:trHeight w:val="2888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8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防控物资管理制度落实情况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2C391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要制定防控物资管理制度，完善工作制度和流程，做到科学使用、专物专用。按照疫情防控相关规定要求，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进入机构场所所有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教职员工和学生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必须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佩戴口罩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，否则，严禁入内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90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9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防控设施设置情况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2C391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要设置相对独立的临时隔离室，与教学场所等人员密集场所保持安全距离。设置完善洗手设施，确保师生流动水洗手需求。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1985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周密部署</w:t>
            </w:r>
          </w:p>
          <w:p w:rsidR="00B4492E" w:rsidRPr="000B12EF" w:rsidRDefault="00B4492E" w:rsidP="00FF02EE">
            <w:pPr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  <w:p w:rsidR="00B4492E" w:rsidRPr="000B12EF" w:rsidRDefault="00B4492E" w:rsidP="00FF02EE">
            <w:pPr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</w:p>
          <w:p w:rsidR="00B4492E" w:rsidRPr="000B12EF" w:rsidRDefault="00B4492E" w:rsidP="00FF02EE">
            <w:pPr>
              <w:rPr>
                <w:rFonts w:ascii="仿宋" w:eastAsia="仿宋" w:hAnsi="仿宋" w:cs="方正小标宋_GBK"/>
                <w:sz w:val="44"/>
                <w:szCs w:val="44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lastRenderedPageBreak/>
              <w:t>防控措施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疫情防控培训情况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学生返校前组织教职员工开展疫情防控专题培训，进行应急处置演练，熟练掌握疫情防控知识、应急处置方法、程序、报告内容等。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2970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疫情防控宣传教育情况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2C391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要通过微信、QQ等线</w:t>
            </w:r>
            <w:proofErr w:type="gramStart"/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上方式</w:t>
            </w:r>
            <w:proofErr w:type="gramEnd"/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对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每一位师生和家长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开展返校前新冠肺炎防控知识的普及教育。确保师生员工和家长知晓学生返校工作安排和要求，掌握个人防护知识。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2958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12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2C391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健康管理落实情况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完善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机构场所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周边环境综合整治工作机制，加强学习、生活和工作场所的消毒、通风，严格体温检测，协调专业医务人员、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社区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防疫人员定期到校巡诊巡查，确保一有情况能够得到及时科学有效处置。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2910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lastRenderedPageBreak/>
              <w:t>全面完成校园</w:t>
            </w: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清洁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13</w:t>
            </w:r>
          </w:p>
        </w:tc>
        <w:tc>
          <w:tcPr>
            <w:tcW w:w="1483" w:type="dxa"/>
            <w:vAlign w:val="center"/>
          </w:tcPr>
          <w:p w:rsidR="00B4492E" w:rsidRPr="000B12EF" w:rsidRDefault="002C3916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场所</w:t>
            </w:r>
            <w:r w:rsidR="00B4492E"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卫生消毒情况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2C391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各机构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要在学生返校前全面完成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场所内外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卫生清扫、环境整治和安全排查，对教室、办公室、厕所、电梯、楼梯和扶手等重点场所的环境卫生开展全覆盖消毒。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1518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14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供水设施检修情况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437955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检查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机构内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供水设施设备，尤其要高度重视洗手设施的修缮和完备。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2782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15</w:t>
            </w:r>
          </w:p>
        </w:tc>
        <w:tc>
          <w:tcPr>
            <w:tcW w:w="1483" w:type="dxa"/>
            <w:vAlign w:val="center"/>
          </w:tcPr>
          <w:p w:rsidR="00B4492E" w:rsidRPr="000B12EF" w:rsidRDefault="00437955" w:rsidP="002C391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安全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管理</w:t>
            </w:r>
            <w:r w:rsidR="00B4492E"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4250" w:type="dxa"/>
          </w:tcPr>
          <w:p w:rsidR="00B4492E" w:rsidRPr="000B12EF" w:rsidRDefault="00B4492E" w:rsidP="002F3B58">
            <w:pPr>
              <w:spacing w:line="400" w:lineRule="exact"/>
              <w:jc w:val="lef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严格落实封闭</w:t>
            </w:r>
            <w:r w:rsidR="002F3B58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式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管理</w:t>
            </w:r>
            <w:r w:rsidR="002F3B58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要求</w:t>
            </w:r>
            <w:r w:rsidR="002C3916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，</w:t>
            </w:r>
            <w:r w:rsidR="002F3B58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无关人员一律不得进入办学场所。严格落实入校查验身份，测体温，入校师生信息登记等流程，实施错时错峰培训。合理引导家长即送（接）即走，防止人员聚集，减少交叉接触。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严格做好防疫</w:t>
            </w:r>
            <w:r w:rsid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物资和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消毒用品的安全管理。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3427"/>
        </w:trPr>
        <w:tc>
          <w:tcPr>
            <w:tcW w:w="892" w:type="dxa"/>
            <w:vMerge w:val="restart"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lastRenderedPageBreak/>
              <w:t>科学做好</w:t>
            </w: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仿宋_GBK"/>
                <w:b/>
                <w:bCs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教学</w:t>
            </w:r>
          </w:p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b/>
                <w:bCs/>
                <w:szCs w:val="32"/>
                <w:shd w:val="clear" w:color="auto" w:fill="FFFFFF"/>
              </w:rPr>
              <w:t>准备</w:t>
            </w:r>
          </w:p>
        </w:tc>
        <w:tc>
          <w:tcPr>
            <w:tcW w:w="630" w:type="dxa"/>
            <w:vAlign w:val="center"/>
          </w:tcPr>
          <w:p w:rsidR="00B4492E" w:rsidRPr="000B12EF" w:rsidRDefault="00B4492E" w:rsidP="00437955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</w:t>
            </w:r>
            <w:r w:rsidR="00437955" w:rsidRPr="000B12EF">
              <w:rPr>
                <w:rFonts w:ascii="仿宋" w:eastAsia="仿宋" w:hAnsi="仿宋" w:cs="方正仿宋_GBK"/>
                <w:sz w:val="28"/>
                <w:szCs w:val="28"/>
              </w:rPr>
              <w:t>6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线上教学衔接情况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FF02EE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2F3B58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各机构要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对学生线上学习质量进行逐一摸底和诊断评估，精准分析学情，研制返校后教育教学</w:t>
            </w:r>
            <w:r w:rsidR="002F3B58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培训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计划，落实好线上线下教学衔接。</w:t>
            </w:r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有针对性的开展线下培训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  <w:tr w:rsidR="00B4492E" w:rsidRPr="000B12EF" w:rsidTr="00FF02EE">
        <w:trPr>
          <w:trHeight w:val="3850"/>
        </w:trPr>
        <w:tc>
          <w:tcPr>
            <w:tcW w:w="892" w:type="dxa"/>
            <w:vMerge/>
            <w:vAlign w:val="center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黑体_GBK"/>
                <w:szCs w:val="32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 w:rsidR="00B4492E" w:rsidRPr="000B12EF" w:rsidRDefault="00B4492E" w:rsidP="00437955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1</w:t>
            </w:r>
            <w:r w:rsidR="00437955" w:rsidRPr="000B12EF">
              <w:rPr>
                <w:rFonts w:ascii="仿宋" w:eastAsia="仿宋" w:hAnsi="仿宋" w:cs="方正仿宋_GBK"/>
                <w:sz w:val="28"/>
                <w:szCs w:val="28"/>
              </w:rPr>
              <w:t>7</w:t>
            </w:r>
          </w:p>
        </w:tc>
        <w:tc>
          <w:tcPr>
            <w:tcW w:w="1483" w:type="dxa"/>
            <w:vAlign w:val="center"/>
          </w:tcPr>
          <w:p w:rsidR="00B4492E" w:rsidRPr="000B12EF" w:rsidRDefault="00B4492E" w:rsidP="00FF02EE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</w:rPr>
              <w:t>教学工作组织情况</w:t>
            </w:r>
          </w:p>
        </w:tc>
        <w:tc>
          <w:tcPr>
            <w:tcW w:w="4250" w:type="dxa"/>
            <w:vAlign w:val="center"/>
          </w:tcPr>
          <w:p w:rsidR="00B4492E" w:rsidRPr="000B12EF" w:rsidRDefault="00B4492E" w:rsidP="00437955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</w:pP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机构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要对学生进行合理分班。疫情防控期间授课</w:t>
            </w:r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时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，</w:t>
            </w:r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场所同</w:t>
            </w:r>
            <w:proofErr w:type="gramStart"/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一教学</w:t>
            </w:r>
            <w:proofErr w:type="gramEnd"/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时段生</w:t>
            </w:r>
            <w:proofErr w:type="gramStart"/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均教学</w:t>
            </w:r>
            <w:proofErr w:type="gramEnd"/>
            <w:r w:rsidR="003B36A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用房建筑面积不少于</w:t>
            </w:r>
            <w:r w:rsidR="00437955" w:rsidRPr="000B12EF">
              <w:rPr>
                <w:rFonts w:ascii="仿宋" w:eastAsia="仿宋" w:hAnsi="仿宋" w:cs="方正仿宋_GBK"/>
                <w:sz w:val="28"/>
                <w:szCs w:val="28"/>
                <w:shd w:val="clear" w:color="auto" w:fill="FFFFFF"/>
              </w:rPr>
              <w:t>3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㎡，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一人一桌，保持合理间距。以班级为单元，做到</w:t>
            </w:r>
            <w:r w:rsidR="00437955"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培训</w:t>
            </w:r>
            <w:r w:rsidRPr="000B12EF">
              <w:rPr>
                <w:rFonts w:ascii="仿宋" w:eastAsia="仿宋" w:hAnsi="仿宋" w:cs="方正仿宋_GBK" w:hint="eastAsia"/>
                <w:sz w:val="28"/>
                <w:szCs w:val="28"/>
                <w:shd w:val="clear" w:color="auto" w:fill="FFFFFF"/>
              </w:rPr>
              <w:t>活动空间相对固定，接触人员清楚。</w:t>
            </w:r>
          </w:p>
        </w:tc>
        <w:tc>
          <w:tcPr>
            <w:tcW w:w="17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2475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087" w:type="dxa"/>
          </w:tcPr>
          <w:p w:rsidR="00B4492E" w:rsidRPr="000B12EF" w:rsidRDefault="00B4492E" w:rsidP="00FF02EE">
            <w:pPr>
              <w:jc w:val="center"/>
              <w:rPr>
                <w:rFonts w:ascii="仿宋" w:eastAsia="仿宋" w:hAnsi="仿宋" w:cs="方正小标宋_GBK"/>
                <w:sz w:val="44"/>
                <w:szCs w:val="44"/>
              </w:rPr>
            </w:pPr>
          </w:p>
        </w:tc>
        <w:tc>
          <w:tcPr>
            <w:tcW w:w="1582" w:type="dxa"/>
          </w:tcPr>
          <w:p w:rsidR="00B4492E" w:rsidRPr="000B12EF" w:rsidRDefault="00B4492E" w:rsidP="00FF02EE">
            <w:pPr>
              <w:jc w:val="center"/>
              <w:rPr>
                <w:rStyle w:val="bjh-p"/>
                <w:rFonts w:ascii="仿宋" w:eastAsia="仿宋" w:hAnsi="仿宋" w:cs="方正仿宋_GBK"/>
                <w:szCs w:val="32"/>
              </w:rPr>
            </w:pPr>
          </w:p>
        </w:tc>
      </w:tr>
    </w:tbl>
    <w:p w:rsidR="00B4492E" w:rsidRPr="000B12EF" w:rsidRDefault="00B4492E" w:rsidP="00B4492E">
      <w:pPr>
        <w:spacing w:line="400" w:lineRule="exact"/>
        <w:rPr>
          <w:rFonts w:ascii="仿宋" w:eastAsia="仿宋" w:hAnsi="仿宋" w:cs="方正小标宋_GBK"/>
          <w:sz w:val="44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4"/>
      </w:tblGrid>
      <w:tr w:rsidR="00B4492E" w:rsidRPr="000B12EF" w:rsidTr="00FF02EE">
        <w:trPr>
          <w:trHeight w:val="2570"/>
        </w:trPr>
        <w:tc>
          <w:tcPr>
            <w:tcW w:w="14174" w:type="dxa"/>
          </w:tcPr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lastRenderedPageBreak/>
              <w:t>验收总体结论（是否符合学生返校条件和整改具体项目）：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 w:val="44"/>
                <w:szCs w:val="44"/>
              </w:rPr>
            </w:pP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 w:val="44"/>
                <w:szCs w:val="44"/>
              </w:rPr>
              <w:t xml:space="preserve">                                      </w:t>
            </w:r>
            <w:r w:rsidRPr="000B12EF">
              <w:rPr>
                <w:rFonts w:ascii="仿宋" w:eastAsia="仿宋" w:hAnsi="仿宋" w:cs="方正小标宋_GBK" w:hint="eastAsia"/>
                <w:szCs w:val="32"/>
              </w:rPr>
              <w:t>验收组全体人员签名：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 xml:space="preserve">                                                   验收时间：2020年   月   日</w:t>
            </w:r>
          </w:p>
        </w:tc>
      </w:tr>
      <w:tr w:rsidR="00B4492E" w:rsidRPr="000B12EF" w:rsidTr="00FF02EE">
        <w:trPr>
          <w:trHeight w:val="2645"/>
        </w:trPr>
        <w:tc>
          <w:tcPr>
            <w:tcW w:w="14174" w:type="dxa"/>
          </w:tcPr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>县、区教育主管部门审核意见（是否同意学生返校）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 xml:space="preserve">                                                      签字（盖章）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 w:val="44"/>
                <w:szCs w:val="44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 xml:space="preserve">                                                     审批日期：2020年   月   日</w:t>
            </w:r>
          </w:p>
        </w:tc>
      </w:tr>
      <w:tr w:rsidR="00B4492E" w:rsidRPr="000B12EF" w:rsidTr="00FF02EE">
        <w:trPr>
          <w:trHeight w:val="2262"/>
        </w:trPr>
        <w:tc>
          <w:tcPr>
            <w:tcW w:w="14174" w:type="dxa"/>
          </w:tcPr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>县、区疫情防控工作领导小组审定意见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Cs w:val="32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 xml:space="preserve">                                                      签字（盖章）</w:t>
            </w:r>
          </w:p>
          <w:p w:rsidR="00B4492E" w:rsidRPr="000B12EF" w:rsidRDefault="00B4492E" w:rsidP="00FF02EE">
            <w:pPr>
              <w:spacing w:line="600" w:lineRule="exact"/>
              <w:jc w:val="left"/>
              <w:rPr>
                <w:rFonts w:ascii="仿宋" w:eastAsia="仿宋" w:hAnsi="仿宋" w:cs="方正小标宋_GBK"/>
                <w:sz w:val="44"/>
                <w:szCs w:val="44"/>
              </w:rPr>
            </w:pPr>
            <w:r w:rsidRPr="000B12EF">
              <w:rPr>
                <w:rFonts w:ascii="仿宋" w:eastAsia="仿宋" w:hAnsi="仿宋" w:cs="方正小标宋_GBK" w:hint="eastAsia"/>
                <w:szCs w:val="32"/>
              </w:rPr>
              <w:t xml:space="preserve">                                                     审批日期：2020年   月   日</w:t>
            </w:r>
          </w:p>
        </w:tc>
      </w:tr>
    </w:tbl>
    <w:p w:rsidR="00B4492E" w:rsidRPr="000B12EF" w:rsidRDefault="00B4492E" w:rsidP="00B4492E">
      <w:pPr>
        <w:spacing w:line="600" w:lineRule="exact"/>
        <w:rPr>
          <w:rFonts w:ascii="仿宋" w:eastAsia="仿宋" w:hAnsi="仿宋" w:cs="方正黑体_GBK"/>
          <w:szCs w:val="32"/>
        </w:rPr>
        <w:sectPr w:rsidR="00B4492E" w:rsidRPr="000B12EF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436"/>
        </w:sectPr>
      </w:pPr>
    </w:p>
    <w:p w:rsidR="00354CC9" w:rsidRPr="000B12EF" w:rsidRDefault="00354CC9" w:rsidP="00367F06">
      <w:pPr>
        <w:rPr>
          <w:rFonts w:ascii="仿宋" w:eastAsia="仿宋" w:hAnsi="仿宋"/>
        </w:rPr>
      </w:pPr>
    </w:p>
    <w:sectPr w:rsidR="00354CC9" w:rsidRPr="000B12EF" w:rsidSect="00B449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6D" w:rsidRDefault="00C2116D" w:rsidP="00B4492E">
      <w:r>
        <w:separator/>
      </w:r>
    </w:p>
  </w:endnote>
  <w:endnote w:type="continuationSeparator" w:id="0">
    <w:p w:rsidR="00C2116D" w:rsidRDefault="00C2116D" w:rsidP="00B4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书宋_GBK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6D" w:rsidRDefault="00C2116D" w:rsidP="00B4492E">
      <w:r>
        <w:separator/>
      </w:r>
    </w:p>
  </w:footnote>
  <w:footnote w:type="continuationSeparator" w:id="0">
    <w:p w:rsidR="00C2116D" w:rsidRDefault="00C2116D" w:rsidP="00B4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A06"/>
    <w:rsid w:val="00004DA4"/>
    <w:rsid w:val="00023E45"/>
    <w:rsid w:val="000B12EF"/>
    <w:rsid w:val="002C3916"/>
    <w:rsid w:val="002F3B58"/>
    <w:rsid w:val="00354CC9"/>
    <w:rsid w:val="00367F06"/>
    <w:rsid w:val="00392E8F"/>
    <w:rsid w:val="003B36A5"/>
    <w:rsid w:val="00437955"/>
    <w:rsid w:val="00492965"/>
    <w:rsid w:val="005E1A1C"/>
    <w:rsid w:val="00763D45"/>
    <w:rsid w:val="00883F94"/>
    <w:rsid w:val="00930E60"/>
    <w:rsid w:val="009B4876"/>
    <w:rsid w:val="00A62A06"/>
    <w:rsid w:val="00B4492E"/>
    <w:rsid w:val="00C2116D"/>
    <w:rsid w:val="00D03F70"/>
    <w:rsid w:val="00D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2E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92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92E"/>
    <w:rPr>
      <w:sz w:val="18"/>
      <w:szCs w:val="18"/>
    </w:rPr>
  </w:style>
  <w:style w:type="character" w:customStyle="1" w:styleId="bjh-p">
    <w:name w:val="bjh-p"/>
    <w:basedOn w:val="a0"/>
    <w:qFormat/>
    <w:rsid w:val="00B4492E"/>
  </w:style>
  <w:style w:type="character" w:styleId="a5">
    <w:name w:val="Placeholder Text"/>
    <w:basedOn w:val="a0"/>
    <w:uiPriority w:val="99"/>
    <w:semiHidden/>
    <w:rsid w:val="003B3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9F27-DA15-4C91-9D38-99FFE6C4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359</Words>
  <Characters>2051</Characters>
  <Application>Microsoft Office Word</Application>
  <DocSecurity>0</DocSecurity>
  <Lines>17</Lines>
  <Paragraphs>4</Paragraphs>
  <ScaleCrop>false</ScaleCrop>
  <Company>SXC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SXC</dc:creator>
  <cp:keywords/>
  <dc:description/>
  <cp:lastModifiedBy>SXC</cp:lastModifiedBy>
  <cp:revision>11</cp:revision>
  <cp:lastPrinted>2020-04-13T23:31:00Z</cp:lastPrinted>
  <dcterms:created xsi:type="dcterms:W3CDTF">2020-04-01T12:20:00Z</dcterms:created>
  <dcterms:modified xsi:type="dcterms:W3CDTF">2020-04-14T09:47:00Z</dcterms:modified>
</cp:coreProperties>
</file>